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FCD6" w14:textId="77777777" w:rsidR="002A0E26" w:rsidRPr="00BA409C" w:rsidRDefault="008D0D38" w:rsidP="002A0E26">
      <w:pPr>
        <w:pStyle w:val="ac"/>
        <w:jc w:val="center"/>
        <w:rPr>
          <w:rFonts w:ascii="Times New Roman" w:hAnsi="Times New Roman"/>
          <w:u w:val="single"/>
          <w:lang w:val="kk-KZ"/>
        </w:rPr>
      </w:pPr>
      <w:r w:rsidRPr="00BA409C">
        <w:rPr>
          <w:rFonts w:ascii="Times New Roman" w:hAnsi="Times New Roman"/>
        </w:rPr>
        <w:t xml:space="preserve">  </w:t>
      </w:r>
      <w:r w:rsidR="002A0E26" w:rsidRPr="00BA409C">
        <w:rPr>
          <w:rFonts w:ascii="Times New Roman" w:hAnsi="Times New Roman"/>
          <w:u w:val="single"/>
        </w:rPr>
        <w:t>"</w:t>
      </w:r>
      <w:r w:rsidR="002A0E26" w:rsidRPr="00BA409C">
        <w:rPr>
          <w:rFonts w:ascii="Times New Roman" w:hAnsi="Times New Roman"/>
          <w:u w:val="single"/>
          <w:lang w:val="kk-KZ"/>
        </w:rPr>
        <w:t>Аманат а</w:t>
      </w:r>
      <w:proofErr w:type="spellStart"/>
      <w:r w:rsidR="002A0E26" w:rsidRPr="00BA409C">
        <w:rPr>
          <w:rFonts w:ascii="Times New Roman" w:hAnsi="Times New Roman"/>
          <w:u w:val="single"/>
        </w:rPr>
        <w:t>вторлық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және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сабақтас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құқықтарды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қорғау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жөніндегі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коммерциялық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емес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ұйым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" </w:t>
      </w:r>
      <w:proofErr w:type="spellStart"/>
      <w:proofErr w:type="gramStart"/>
      <w:r w:rsidR="002A0E26" w:rsidRPr="00BA409C">
        <w:rPr>
          <w:rFonts w:ascii="Times New Roman" w:hAnsi="Times New Roman"/>
          <w:u w:val="single"/>
        </w:rPr>
        <w:t>жеке</w:t>
      </w:r>
      <w:proofErr w:type="spellEnd"/>
      <w:r w:rsidR="002A0E26" w:rsidRPr="00BA409C">
        <w:rPr>
          <w:rFonts w:ascii="Times New Roman" w:hAnsi="Times New Roman"/>
          <w:u w:val="single"/>
          <w:lang w:val="kk-KZ"/>
        </w:rPr>
        <w:t xml:space="preserve">мншік </w:t>
      </w:r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мекемесі</w:t>
      </w:r>
      <w:proofErr w:type="spellEnd"/>
      <w:proofErr w:type="gram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мүшелерінің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r w:rsidR="002A0E26" w:rsidRPr="00BA409C">
        <w:rPr>
          <w:rFonts w:ascii="Times New Roman" w:hAnsi="Times New Roman"/>
          <w:u w:val="single"/>
        </w:rPr>
        <w:t>жалпы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proofErr w:type="spellStart"/>
      <w:proofErr w:type="gramStart"/>
      <w:r w:rsidR="002A0E26" w:rsidRPr="00BA409C">
        <w:rPr>
          <w:rFonts w:ascii="Times New Roman" w:hAnsi="Times New Roman"/>
          <w:u w:val="single"/>
        </w:rPr>
        <w:t>жиналысы</w:t>
      </w:r>
      <w:proofErr w:type="spellEnd"/>
      <w:r w:rsidR="002A0E26" w:rsidRPr="00BA409C">
        <w:rPr>
          <w:rFonts w:ascii="Times New Roman" w:hAnsi="Times New Roman"/>
          <w:u w:val="single"/>
        </w:rPr>
        <w:t xml:space="preserve"> </w:t>
      </w:r>
      <w:r w:rsidR="002A0E26" w:rsidRPr="00BA409C">
        <w:rPr>
          <w:rFonts w:ascii="Times New Roman" w:hAnsi="Times New Roman"/>
          <w:u w:val="single"/>
          <w:lang w:val="kk-KZ"/>
        </w:rPr>
        <w:t xml:space="preserve"> </w:t>
      </w:r>
      <w:r w:rsidR="00E82D04" w:rsidRPr="00BA409C">
        <w:rPr>
          <w:rFonts w:ascii="Times New Roman" w:hAnsi="Times New Roman"/>
          <w:u w:val="single"/>
          <w:lang w:val="kk-KZ"/>
        </w:rPr>
        <w:t>25.06.2026</w:t>
      </w:r>
      <w:proofErr w:type="gramEnd"/>
      <w:r w:rsidR="00E82D04" w:rsidRPr="00BA409C">
        <w:rPr>
          <w:rFonts w:ascii="Times New Roman" w:hAnsi="Times New Roman"/>
          <w:u w:val="single"/>
          <w:lang w:val="kk-KZ"/>
        </w:rPr>
        <w:t xml:space="preserve"> </w:t>
      </w:r>
      <w:proofErr w:type="gramStart"/>
      <w:r w:rsidR="00E82D04" w:rsidRPr="00BA409C">
        <w:rPr>
          <w:rFonts w:ascii="Times New Roman" w:hAnsi="Times New Roman"/>
          <w:u w:val="single"/>
          <w:lang w:val="kk-KZ"/>
        </w:rPr>
        <w:t>жыл</w:t>
      </w:r>
      <w:r w:rsidR="002A0E26" w:rsidRPr="00BA409C">
        <w:rPr>
          <w:rFonts w:ascii="Times New Roman" w:hAnsi="Times New Roman"/>
          <w:u w:val="single"/>
          <w:lang w:val="kk-KZ"/>
        </w:rPr>
        <w:t xml:space="preserve">  сағат</w:t>
      </w:r>
      <w:proofErr w:type="gramEnd"/>
      <w:r w:rsidR="002A0E26" w:rsidRPr="00BA409C">
        <w:rPr>
          <w:rFonts w:ascii="Times New Roman" w:hAnsi="Times New Roman"/>
          <w:u w:val="single"/>
          <w:lang w:val="kk-KZ"/>
        </w:rPr>
        <w:t xml:space="preserve"> 15 те жоспарлаған, қайта жиналыс </w:t>
      </w:r>
      <w:r w:rsidR="00E82D04" w:rsidRPr="00BA409C">
        <w:rPr>
          <w:rFonts w:ascii="Times New Roman" w:hAnsi="Times New Roman"/>
          <w:u w:val="single"/>
          <w:lang w:val="kk-KZ"/>
        </w:rPr>
        <w:t>02.07</w:t>
      </w:r>
      <w:r w:rsidR="002A0E26" w:rsidRPr="00BA409C">
        <w:rPr>
          <w:rFonts w:ascii="Times New Roman" w:hAnsi="Times New Roman"/>
          <w:u w:val="single"/>
          <w:lang w:val="kk-KZ"/>
        </w:rPr>
        <w:t xml:space="preserve"> 202</w:t>
      </w:r>
      <w:r w:rsidR="00E82D04" w:rsidRPr="00BA409C">
        <w:rPr>
          <w:rFonts w:ascii="Times New Roman" w:hAnsi="Times New Roman"/>
          <w:u w:val="single"/>
        </w:rPr>
        <w:t>6</w:t>
      </w:r>
      <w:r w:rsidR="002A0E26" w:rsidRPr="00BA409C">
        <w:rPr>
          <w:rFonts w:ascii="Times New Roman" w:hAnsi="Times New Roman"/>
          <w:u w:val="single"/>
          <w:lang w:val="kk-KZ"/>
        </w:rPr>
        <w:t xml:space="preserve"> жыл сағат 15 те (</w:t>
      </w:r>
      <w:r w:rsidR="00E82D04" w:rsidRPr="00BA409C">
        <w:rPr>
          <w:rFonts w:ascii="Times New Roman" w:hAnsi="Times New Roman"/>
          <w:u w:val="single"/>
          <w:lang w:val="kk-KZ"/>
        </w:rPr>
        <w:t>25</w:t>
      </w:r>
      <w:r w:rsidR="002A0E26" w:rsidRPr="00BA409C">
        <w:rPr>
          <w:rFonts w:ascii="Times New Roman" w:hAnsi="Times New Roman"/>
          <w:u w:val="single"/>
          <w:lang w:val="kk-KZ"/>
        </w:rPr>
        <w:t>.0</w:t>
      </w:r>
      <w:r w:rsidR="00E82D04" w:rsidRPr="00BA409C">
        <w:rPr>
          <w:rFonts w:ascii="Times New Roman" w:hAnsi="Times New Roman"/>
          <w:u w:val="single"/>
          <w:lang w:val="kk-KZ"/>
        </w:rPr>
        <w:t>6</w:t>
      </w:r>
      <w:r w:rsidR="002A0E26" w:rsidRPr="00BA409C">
        <w:rPr>
          <w:rFonts w:ascii="Times New Roman" w:hAnsi="Times New Roman"/>
          <w:u w:val="single"/>
          <w:lang w:val="kk-KZ"/>
        </w:rPr>
        <w:t>.202</w:t>
      </w:r>
      <w:r w:rsidR="00E82D04" w:rsidRPr="00BA409C">
        <w:rPr>
          <w:rFonts w:ascii="Times New Roman" w:hAnsi="Times New Roman"/>
          <w:u w:val="single"/>
        </w:rPr>
        <w:t>6</w:t>
      </w:r>
      <w:r w:rsidR="002A0E26" w:rsidRPr="00BA409C">
        <w:rPr>
          <w:rFonts w:ascii="Times New Roman" w:hAnsi="Times New Roman"/>
          <w:u w:val="single"/>
        </w:rPr>
        <w:t xml:space="preserve"> </w:t>
      </w:r>
      <w:r w:rsidR="002A0E26" w:rsidRPr="00BA409C">
        <w:rPr>
          <w:rFonts w:ascii="Times New Roman" w:hAnsi="Times New Roman"/>
          <w:u w:val="single"/>
          <w:lang w:val="kk-KZ"/>
        </w:rPr>
        <w:t xml:space="preserve">ж. жиналыста кворум болмаған жағдайда) </w:t>
      </w:r>
    </w:p>
    <w:p w14:paraId="40C957BD" w14:textId="77777777" w:rsidR="002A0E26" w:rsidRPr="00BA409C" w:rsidRDefault="002A0E26" w:rsidP="002A0E2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0737B7C5" w14:textId="22B823D1" w:rsidR="002A0E26" w:rsidRPr="00BA409C" w:rsidRDefault="002A0E26" w:rsidP="002A0E2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Общее Собрание членов Частного Учреждения «Некоммерческая организация по защите авторских и смежных прав «</w:t>
      </w:r>
      <w:proofErr w:type="gramStart"/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Аманат  </w:t>
      </w:r>
      <w:r w:rsidR="00BA409C"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25</w:t>
      </w:r>
      <w:r w:rsidR="00E82D04"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.06.2026</w:t>
      </w:r>
      <w:proofErr w:type="gramEnd"/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  <w:r w:rsidR="00E82D04"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года </w:t>
      </w:r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в 15 </w:t>
      </w:r>
      <w:proofErr w:type="gramStart"/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часов ,</w:t>
      </w:r>
      <w:proofErr w:type="gramEnd"/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</w:t>
      </w:r>
    </w:p>
    <w:p w14:paraId="7F91A654" w14:textId="77777777" w:rsidR="002A0E26" w:rsidRPr="00BA409C" w:rsidRDefault="002A0E26" w:rsidP="002A0E2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повторное Собрание </w:t>
      </w:r>
      <w:r w:rsidR="00E82D04"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02.07.2026 </w:t>
      </w:r>
      <w:proofErr w:type="gramStart"/>
      <w:r w:rsidR="00E82D04"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года </w:t>
      </w:r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в</w:t>
      </w:r>
      <w:proofErr w:type="gramEnd"/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15 часов (в случае отсутствия кворума на Собрании </w:t>
      </w:r>
      <w:r w:rsidR="00EC7819"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25</w:t>
      </w:r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</w:t>
      </w:r>
      <w:r w:rsidR="00EC7819"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6</w:t>
      </w:r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.202</w:t>
      </w:r>
      <w:r w:rsidR="00EC7819"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6</w:t>
      </w:r>
      <w:r w:rsidRPr="00BA409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г.) </w:t>
      </w:r>
    </w:p>
    <w:p w14:paraId="11A6D356" w14:textId="77777777" w:rsidR="002A0E26" w:rsidRPr="00BA409C" w:rsidRDefault="002A0E26" w:rsidP="002A0E2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48065698" w14:textId="77777777" w:rsidR="002A0E26" w:rsidRPr="00BA409C" w:rsidRDefault="002A0E26" w:rsidP="002A0E2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</w:pPr>
      <w:r w:rsidRPr="00BA40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A409C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>Т.А.Ә құқықиеленуші, номері және келісімшарттың жасалған уақыты</w:t>
      </w:r>
    </w:p>
    <w:p w14:paraId="3634E295" w14:textId="77777777" w:rsidR="002A0E26" w:rsidRPr="00BA409C" w:rsidRDefault="002A0E26" w:rsidP="002A0E2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A40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Ф.И.О. правообладателя, номер и дата лицензионного договора </w:t>
      </w:r>
    </w:p>
    <w:p w14:paraId="25E52E0B" w14:textId="77777777" w:rsidR="002A0E26" w:rsidRPr="00BA409C" w:rsidRDefault="002A0E26" w:rsidP="002A0E2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A409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____________________________________________________________________________________</w:t>
      </w:r>
    </w:p>
    <w:p w14:paraId="64243383" w14:textId="77777777" w:rsidR="002A0E26" w:rsidRPr="00BA409C" w:rsidRDefault="002A0E26" w:rsidP="002A0E2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A409C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                                                                     </w:t>
      </w:r>
      <w:r w:rsidRPr="00BA40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БЮЛЛЕТЕНЬ</w:t>
      </w:r>
    </w:p>
    <w:p w14:paraId="5BD9086C" w14:textId="77777777" w:rsidR="002A0E26" w:rsidRPr="00BA409C" w:rsidRDefault="002A0E26" w:rsidP="002A0E26">
      <w:pPr>
        <w:tabs>
          <w:tab w:val="left" w:pos="5355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A409C">
        <w:rPr>
          <w:rFonts w:ascii="Times New Roman" w:eastAsia="Calibri" w:hAnsi="Times New Roman" w:cs="Times New Roman"/>
          <w:kern w:val="0"/>
          <w:sz w:val="22"/>
          <w:szCs w:val="22"/>
          <w:lang w:val="kk-KZ"/>
          <w14:ligatures w14:val="none"/>
        </w:rPr>
        <w:t xml:space="preserve">                           </w:t>
      </w:r>
      <w:r w:rsidRPr="00BA40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заочного голосования</w:t>
      </w:r>
      <w:r w:rsidRPr="00BA40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proofErr w:type="spellStart"/>
      <w:r w:rsidRPr="00BA40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сырттай</w:t>
      </w:r>
      <w:proofErr w:type="spellEnd"/>
      <w:r w:rsidRPr="00BA40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A40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дауыс</w:t>
      </w:r>
      <w:proofErr w:type="spellEnd"/>
      <w:r w:rsidRPr="00BA409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беру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1114"/>
        <w:gridCol w:w="28"/>
        <w:gridCol w:w="1153"/>
        <w:gridCol w:w="1797"/>
      </w:tblGrid>
      <w:tr w:rsidR="002A0E26" w:rsidRPr="00BA409C" w14:paraId="537CDA05" w14:textId="77777777" w:rsidTr="00BA409C">
        <w:tc>
          <w:tcPr>
            <w:tcW w:w="5272" w:type="dxa"/>
          </w:tcPr>
          <w:p w14:paraId="3024FD4A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Повестка дня</w:t>
            </w:r>
          </w:p>
        </w:tc>
        <w:tc>
          <w:tcPr>
            <w:tcW w:w="3939" w:type="dxa"/>
            <w:gridSpan w:val="4"/>
          </w:tcPr>
          <w:p w14:paraId="1615C27F" w14:textId="77777777" w:rsidR="002A0E26" w:rsidRPr="00BA409C" w:rsidRDefault="002A0E26" w:rsidP="002A0E2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Итоги голосования</w:t>
            </w:r>
          </w:p>
          <w:p w14:paraId="5BD347F8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A0E26" w:rsidRPr="00BA409C" w14:paraId="5C9BD4A5" w14:textId="77777777" w:rsidTr="00BA409C">
        <w:tc>
          <w:tcPr>
            <w:tcW w:w="5272" w:type="dxa"/>
          </w:tcPr>
          <w:p w14:paraId="77C4E55A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</w:tcPr>
          <w:p w14:paraId="579FB158" w14:textId="77777777" w:rsidR="002A0E26" w:rsidRPr="00BA409C" w:rsidRDefault="002A0E26" w:rsidP="002A0E26">
            <w:pPr>
              <w:tabs>
                <w:tab w:val="left" w:pos="0"/>
                <w:tab w:val="left" w:pos="2475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за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/ келісемін                                         </w:t>
            </w:r>
          </w:p>
          <w:p w14:paraId="24635C5B" w14:textId="77777777" w:rsidR="002A0E26" w:rsidRPr="00BA409C" w:rsidRDefault="002A0E26" w:rsidP="002A0E26">
            <w:pPr>
              <w:tabs>
                <w:tab w:val="left" w:pos="0"/>
                <w:tab w:val="left" w:pos="2475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                                    </w:t>
            </w:r>
          </w:p>
        </w:tc>
        <w:tc>
          <w:tcPr>
            <w:tcW w:w="1016" w:type="dxa"/>
            <w:gridSpan w:val="2"/>
          </w:tcPr>
          <w:p w14:paraId="12DACB4E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против/ 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     қарсымын</w:t>
            </w:r>
          </w:p>
        </w:tc>
        <w:tc>
          <w:tcPr>
            <w:tcW w:w="1808" w:type="dxa"/>
          </w:tcPr>
          <w:p w14:paraId="6EB6244F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воздерживаюсь/ бейтарап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                                 </w:t>
            </w:r>
          </w:p>
        </w:tc>
      </w:tr>
      <w:tr w:rsidR="002A0E26" w:rsidRPr="00BA409C" w14:paraId="151A3CD7" w14:textId="77777777" w:rsidTr="00BA409C">
        <w:tc>
          <w:tcPr>
            <w:tcW w:w="5272" w:type="dxa"/>
          </w:tcPr>
          <w:p w14:paraId="6139B826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  <w:tab w:val="left" w:pos="349"/>
              </w:tabs>
              <w:spacing w:after="0" w:line="254" w:lineRule="exact"/>
              <w:ind w:left="66"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   </w:t>
            </w:r>
          </w:p>
          <w:p w14:paraId="7E5A6D75" w14:textId="77777777" w:rsidR="002A0E26" w:rsidRPr="00BA409C" w:rsidRDefault="002A0E26" w:rsidP="002A0E2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66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5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жылғы жұмыстың қорытындысы.</w:t>
            </w:r>
          </w:p>
          <w:p w14:paraId="6E2611AB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     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Подведение итогов работы за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год.</w:t>
            </w:r>
          </w:p>
          <w:p w14:paraId="4580CA2D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78D90054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kk-KZ"/>
                <w14:ligatures w14:val="none"/>
              </w:rPr>
            </w:pP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Дауыс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беруге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арналған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ұсыныс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kk-KZ"/>
                <w14:ligatures w14:val="none"/>
              </w:rPr>
              <w:t>/</w:t>
            </w:r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Предложение для голосования</w:t>
            </w:r>
          </w:p>
          <w:p w14:paraId="37EE8A81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  <w:t>Жұмыстың қорытындыларын назарға алу</w:t>
            </w:r>
          </w:p>
          <w:p w14:paraId="55445798" w14:textId="13B6C4EF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  <w:t>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  <w:t>5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  <w:t xml:space="preserve"> жылғы шығыстар сметасы, </w:t>
            </w:r>
          </w:p>
          <w:p w14:paraId="39E14F2A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</w:pPr>
          </w:p>
          <w:p w14:paraId="13A6DC25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Принять к сведению итоги работы за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год.</w:t>
            </w:r>
          </w:p>
          <w:p w14:paraId="035841C6" w14:textId="743BE419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Утвердить Смету расходов за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</w:t>
            </w:r>
            <w:r w:rsidR="00BA409C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115" w:type="dxa"/>
          </w:tcPr>
          <w:p w14:paraId="6BE00399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gridSpan w:val="2"/>
          </w:tcPr>
          <w:p w14:paraId="0BF6E70B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8" w:type="dxa"/>
          </w:tcPr>
          <w:p w14:paraId="1A0A3830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A0E26" w:rsidRPr="00BA409C" w14:paraId="4C6CD25D" w14:textId="77777777" w:rsidTr="00BA409C">
        <w:tc>
          <w:tcPr>
            <w:tcW w:w="5272" w:type="dxa"/>
          </w:tcPr>
          <w:p w14:paraId="2A9CCED0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</w:p>
          <w:p w14:paraId="5CB6B8B5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2.  202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6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жылға арналған даму жоспарлары. </w:t>
            </w:r>
          </w:p>
          <w:p w14:paraId="68D8EBF7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   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6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жылға арналған бюджетті бекіту.</w:t>
            </w:r>
          </w:p>
          <w:p w14:paraId="64E1585E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    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Планы развития на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год. </w:t>
            </w:r>
          </w:p>
          <w:p w14:paraId="3407EEBB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    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Утверждение Бюджета на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год.</w:t>
            </w:r>
          </w:p>
          <w:p w14:paraId="2F5E5AF2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1D3B5AD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</w:pP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Дауыс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беруге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арналған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ұсыныс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kk-KZ"/>
                <w14:ligatures w14:val="none"/>
              </w:rPr>
              <w:t>/</w:t>
            </w:r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 xml:space="preserve">Предложение для </w:t>
            </w:r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u w:val="single"/>
                <w:lang w:val="kk-KZ"/>
                <w14:ligatures w14:val="none"/>
              </w:rPr>
              <w:t xml:space="preserve">        </w:t>
            </w:r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голосования</w:t>
            </w:r>
          </w:p>
          <w:p w14:paraId="41ED9DCA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kk-KZ"/>
                <w14:ligatures w14:val="none"/>
              </w:rPr>
            </w:pPr>
          </w:p>
          <w:p w14:paraId="53CB3675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6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жылға арналған даму жоспарлары, </w:t>
            </w:r>
          </w:p>
          <w:p w14:paraId="35F50BCF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6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жылға арналған Бюджетті бекіту</w:t>
            </w:r>
          </w:p>
          <w:p w14:paraId="14D2CDDB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Утвердить планы развития на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год, </w:t>
            </w:r>
          </w:p>
          <w:p w14:paraId="7630133C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Бюджет на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год.</w:t>
            </w:r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115" w:type="dxa"/>
          </w:tcPr>
          <w:p w14:paraId="2D5EEC58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gridSpan w:val="2"/>
          </w:tcPr>
          <w:p w14:paraId="2D9DB613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8" w:type="dxa"/>
          </w:tcPr>
          <w:p w14:paraId="165EC308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A0E26" w:rsidRPr="00BA409C" w14:paraId="5D267A20" w14:textId="77777777" w:rsidTr="00BA409C">
        <w:tc>
          <w:tcPr>
            <w:tcW w:w="5272" w:type="dxa"/>
          </w:tcPr>
          <w:p w14:paraId="05CF0611" w14:textId="77777777" w:rsidR="002A0E26" w:rsidRPr="00BA409C" w:rsidRDefault="002A0E26" w:rsidP="002A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</w:p>
          <w:p w14:paraId="72286A34" w14:textId="77777777" w:rsidR="002A0E26" w:rsidRPr="00BA409C" w:rsidRDefault="002A0E26" w:rsidP="002A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3. 202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>5, 2022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  <w:t xml:space="preserve"> жылы жиналған сыйақы сомаларынан сәйкестендірілмеген құқық иеленушілер бойынша сыйақы сомаларын бөлу.</w:t>
            </w:r>
          </w:p>
          <w:p w14:paraId="137F374B" w14:textId="77777777" w:rsidR="002A0E26" w:rsidRPr="00BA409C" w:rsidRDefault="002A0E26" w:rsidP="002A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Распределение сумм вознаграждения, по неидентифицированным правообладателям, из сумм вознаграждений, собранных в </w:t>
            </w:r>
            <w:proofErr w:type="gramStart"/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  202</w:t>
            </w:r>
            <w:r w:rsidR="00EC7819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proofErr w:type="gramEnd"/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годах.</w:t>
            </w:r>
          </w:p>
          <w:p w14:paraId="1278E907" w14:textId="77777777" w:rsidR="002A0E26" w:rsidRPr="00BA409C" w:rsidRDefault="002A0E26" w:rsidP="002A0E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3906E89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6ED5211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97216EA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</w:pP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Дауыс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беруге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арналған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ұсыныс</w:t>
            </w:r>
            <w:proofErr w:type="spellEnd"/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kk-KZ"/>
                <w14:ligatures w14:val="none"/>
              </w:rPr>
              <w:t>/</w:t>
            </w:r>
            <w:r w:rsidRPr="00BA409C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Предложение для голосования:</w:t>
            </w:r>
          </w:p>
          <w:p w14:paraId="18E5E674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  <w:t xml:space="preserve">Қате деректер бойынша есептелген сыйақы сомасы  (құқық иеленушінің аты-жөні дұрыс емес, аты-жөні 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:u w:val="single"/>
                <w:lang w:val="kk-KZ"/>
                <w14:ligatures w14:val="none"/>
              </w:rPr>
              <w:lastRenderedPageBreak/>
              <w:t>жоқ және шығармашылық лақап  аты дұрыс емес, есепте көрсетілгендей-халық туындысы) аманат мүшелері арасында бөлінеді:</w:t>
            </w:r>
          </w:p>
          <w:p w14:paraId="46C6A2A4" w14:textId="77777777" w:rsidR="00C4501E" w:rsidRPr="00BA409C" w:rsidRDefault="00C4501E" w:rsidP="00C4501E">
            <w:pPr>
              <w:pStyle w:val="ac"/>
              <w:rPr>
                <w:rFonts w:ascii="Times New Roman" w:hAnsi="Times New Roman"/>
                <w:u w:val="single"/>
                <w:lang w:val="kk-KZ" w:eastAsia="ru-RU"/>
              </w:rPr>
            </w:pPr>
            <w:r w:rsidRPr="00BA409C">
              <w:rPr>
                <w:rFonts w:ascii="Times New Roman" w:hAnsi="Times New Roman"/>
                <w:u w:val="single"/>
                <w:lang w:val="kk-KZ"/>
              </w:rPr>
              <w:t xml:space="preserve">1 262 630тг- </w:t>
            </w:r>
            <w:r w:rsidRPr="00BA409C">
              <w:rPr>
                <w:rFonts w:ascii="Times New Roman" w:hAnsi="Times New Roman"/>
                <w:u w:val="single"/>
                <w:lang w:val="kk-KZ" w:eastAsia="ru-RU"/>
              </w:rPr>
              <w:t>авторлық құқық иеленушілер кеңесінің мүшелеріне бонустар беруге тікелей;</w:t>
            </w:r>
          </w:p>
          <w:p w14:paraId="4D5A57C0" w14:textId="77777777" w:rsidR="00C4501E" w:rsidRPr="00BA409C" w:rsidRDefault="00C4501E" w:rsidP="00C4501E">
            <w:pPr>
              <w:pStyle w:val="ac"/>
              <w:rPr>
                <w:rFonts w:ascii="Times New Roman" w:eastAsia="Times New Roman" w:hAnsi="Times New Roman"/>
                <w:color w:val="1F1F1F"/>
                <w:u w:val="single"/>
                <w:lang w:val="kk-KZ" w:eastAsia="ru-RU"/>
              </w:rPr>
            </w:pPr>
            <w:r w:rsidRPr="00BA409C">
              <w:rPr>
                <w:rFonts w:ascii="Times New Roman" w:eastAsia="Times New Roman" w:hAnsi="Times New Roman"/>
                <w:color w:val="1F1F1F"/>
                <w:u w:val="single"/>
                <w:lang w:val="kk-KZ" w:eastAsia="ru-RU"/>
              </w:rPr>
              <w:t>қалған сомаларды төлеңіз-</w:t>
            </w:r>
          </w:p>
          <w:p w14:paraId="1DE5495A" w14:textId="77777777" w:rsidR="002A0E26" w:rsidRPr="00BA409C" w:rsidRDefault="000D7E0B" w:rsidP="00C4501E">
            <w:pPr>
              <w:pStyle w:val="ac"/>
              <w:rPr>
                <w:rFonts w:ascii="Times New Roman" w:hAnsi="Times New Roman"/>
                <w:u w:val="single"/>
                <w:lang w:val="kk-KZ"/>
              </w:rPr>
            </w:pPr>
            <w:r w:rsidRPr="00BA409C">
              <w:rPr>
                <w:rFonts w:ascii="Times New Roman" w:hAnsi="Times New Roman"/>
                <w:u w:val="single"/>
                <w:lang w:val="kk-KZ"/>
              </w:rPr>
              <w:t>5</w:t>
            </w:r>
            <w:r w:rsidR="002A0E26" w:rsidRPr="00BA409C">
              <w:rPr>
                <w:rFonts w:ascii="Times New Roman" w:hAnsi="Times New Roman"/>
                <w:u w:val="single"/>
                <w:lang w:val="kk-KZ"/>
              </w:rPr>
              <w:t>0% - құрылтайшыларға тең үлестермен төленеді;</w:t>
            </w:r>
          </w:p>
          <w:p w14:paraId="003BCB0E" w14:textId="77777777" w:rsidR="002A0E26" w:rsidRPr="00BA409C" w:rsidRDefault="000D7E0B" w:rsidP="00C4501E">
            <w:pPr>
              <w:pStyle w:val="ac"/>
              <w:rPr>
                <w:rFonts w:ascii="Times New Roman" w:hAnsi="Times New Roman"/>
                <w:u w:val="single"/>
                <w:lang w:val="kk-KZ"/>
              </w:rPr>
            </w:pPr>
            <w:r w:rsidRPr="00BA409C">
              <w:rPr>
                <w:rFonts w:ascii="Times New Roman" w:hAnsi="Times New Roman"/>
                <w:u w:val="single"/>
                <w:lang w:val="kk-KZ"/>
              </w:rPr>
              <w:t>5</w:t>
            </w:r>
            <w:r w:rsidR="002A0E26" w:rsidRPr="00BA409C">
              <w:rPr>
                <w:rFonts w:ascii="Times New Roman" w:hAnsi="Times New Roman"/>
                <w:u w:val="single"/>
                <w:lang w:val="kk-KZ"/>
              </w:rPr>
              <w:t>0%--31.12.2024 жылғы жағдай бойынша мүшелерге тең үлестермен төленеді.</w:t>
            </w:r>
          </w:p>
          <w:p w14:paraId="10E984E5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Сумму вознаграждения, начисленную по некорректным данным (неправильное ФИО правообладателя, отсутствие ФИО и неверный псевдоним, указание в Отчете- народное произведение, национальная песня и т.д., перешедшие в общественное достояние), распределить между членами Аманат следующим образом:</w:t>
            </w:r>
          </w:p>
          <w:p w14:paraId="699C107E" w14:textId="77777777" w:rsidR="005939C6" w:rsidRPr="00BA409C" w:rsidRDefault="00C4501E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1 262 630тг- направить на премирование членов Совета Правообладателей;</w:t>
            </w:r>
          </w:p>
          <w:p w14:paraId="2331AF09" w14:textId="77777777" w:rsidR="00C4501E" w:rsidRPr="00BA409C" w:rsidRDefault="00C4501E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оставшиеся суммы выплатить-</w:t>
            </w:r>
          </w:p>
          <w:p w14:paraId="4414C296" w14:textId="77777777" w:rsidR="002A0E26" w:rsidRPr="00BA409C" w:rsidRDefault="000D7E0B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="002A0E26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0%- выплатить </w:t>
            </w:r>
            <w:proofErr w:type="gramStart"/>
            <w:r w:rsidR="002A0E26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учредителям  в</w:t>
            </w:r>
            <w:proofErr w:type="gramEnd"/>
            <w:r w:rsidR="002A0E26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равных долях;</w:t>
            </w:r>
          </w:p>
          <w:p w14:paraId="6B79D7EB" w14:textId="77777777" w:rsidR="002A0E26" w:rsidRPr="00BA409C" w:rsidRDefault="000D7E0B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="002A0E26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0%- выплатить членам по состоянию на 31.12.202</w:t>
            </w: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 w:rsidR="002A0E26"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года в равных долях.</w:t>
            </w:r>
          </w:p>
          <w:p w14:paraId="3C5D53FF" w14:textId="77777777" w:rsidR="002A0E26" w:rsidRPr="00BA409C" w:rsidRDefault="002A0E26" w:rsidP="002A0E26">
            <w:pPr>
              <w:shd w:val="clear" w:color="auto" w:fill="FFFFFF"/>
              <w:tabs>
                <w:tab w:val="left" w:pos="0"/>
              </w:tabs>
              <w:spacing w:after="0" w:line="254" w:lineRule="exact"/>
              <w:ind w:right="-63" w:firstLine="426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A409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115" w:type="dxa"/>
          </w:tcPr>
          <w:p w14:paraId="636C40C4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left="720"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gridSpan w:val="2"/>
          </w:tcPr>
          <w:p w14:paraId="4AFD84F5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left="720"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8" w:type="dxa"/>
          </w:tcPr>
          <w:p w14:paraId="7AE2781A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left="720"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A0E26" w:rsidRPr="00BA409C" w14:paraId="2051E715" w14:textId="77777777" w:rsidTr="00BA409C">
        <w:tc>
          <w:tcPr>
            <w:tcW w:w="5272" w:type="dxa"/>
          </w:tcPr>
          <w:p w14:paraId="2828010E" w14:textId="77777777" w:rsidR="00791069" w:rsidRPr="00BA409C" w:rsidRDefault="005045A7" w:rsidP="00BA40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4. Жарғыны жаңа редакцияда бекіту.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Утверждение Устава в новой редакции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Дауыс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беруге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арналған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ұсыныс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Pr="00BA40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Предложение для голосования</w:t>
            </w:r>
            <w:r w:rsidRPr="00BA409C">
              <w:rPr>
                <w:rFonts w:ascii="Times New Roman" w:hAnsi="Times New Roman" w:cs="Times New Roman"/>
                <w:sz w:val="22"/>
                <w:szCs w:val="22"/>
                <w:u w:val="single"/>
              </w:rPr>
              <w:br/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«Аманат»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авторлық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және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сабақтас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құқықтарды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қорғау жөніндегі коммерциялық емес ұйым» жеке мекемесінің Жарғысы жаңа редакцияда бекітілсін. Жарғының жаңа редакциясына қол қою Құқық иеленушілер кеңесінің төрағасына жүктелсін.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Утвердить Устав Частного учреждения «Некоммерческая организация по защите авторских и смежных прав «Аманат» в новой редакции. Поручить подписание Устава в новой редакции Председателю Совета Правообладателей.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9" w:type="dxa"/>
            <w:gridSpan w:val="2"/>
          </w:tcPr>
          <w:p w14:paraId="21BD515A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</w:tcPr>
          <w:p w14:paraId="76E6A64F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8" w:type="dxa"/>
          </w:tcPr>
          <w:p w14:paraId="098722E2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A0E26" w:rsidRPr="00BA409C" w14:paraId="2E8EBAB8" w14:textId="77777777" w:rsidTr="00BA409C">
        <w:tc>
          <w:tcPr>
            <w:tcW w:w="5272" w:type="dxa"/>
          </w:tcPr>
          <w:p w14:paraId="011AE634" w14:textId="77777777" w:rsidR="00791069" w:rsidRPr="00BA409C" w:rsidRDefault="005045A7" w:rsidP="00C33C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Қолданыстағы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ережелерге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өзгерістер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енгізу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Авторлық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сыйақы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мөлшерлемелері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туралы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«Сабақтас құқықтар бойынша сыйақы мөлшерлемелері туралы»;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«Авторлық сыйақыны жинау, есептеу және төлеу тәртібі туралы»;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«Сабақтас құқықтар бойынша сыйақыны жинау, есептеу және төлеу тәртібі туралы»;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«Басқарма туралы»;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«Құқық иеленушілер кеңесі туралы»;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Лицензиялық шарттардың үлгілік нысандары;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Есеп саясаты;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Есеп және салықтық саясат.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Внесение изменений в действующие Положения: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ставках авторского вознаграждения»;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ставках смежного вознаграждения»;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порядке сбора, начисления и выплаты авторского вознаграждения»;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порядке сбора, начисления и выплаты смежного вознаграждения»;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Правлении»;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Совете Правообладателей»;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типовые формы Лицензионных договоров;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Учетную политику;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Учетно-налоговую политику.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Дауыс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беруге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арналған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ұсыныс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A40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/ Предложение для голосования</w:t>
            </w:r>
            <w:r w:rsidRPr="00BA409C">
              <w:rPr>
                <w:rFonts w:ascii="Times New Roman" w:hAnsi="Times New Roman" w:cs="Times New Roman"/>
                <w:sz w:val="22"/>
                <w:szCs w:val="22"/>
                <w:u w:val="single"/>
              </w:rPr>
              <w:br/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Қолданыстағы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ережелерге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өзгерістер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енгізілсін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және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олардың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жаң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редакциясы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бекітілсін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Авторлық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сыйақы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мөлшерлемелері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туралы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Сабақтас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құқықтар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бойынша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сыйақы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мөлшерлемелері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туралы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Авторлық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сыйақыны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жинау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есептеу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және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төлеу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тәртібі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туралы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Сабақтас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құқықтар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бойынша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сыйақыны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жинау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есептеу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және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төлеу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тәртібі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туралы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Басқарма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туралы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Құқық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иеленушілер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кеңесі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туралы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Лицензиялық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шарттардың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үлгілік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нысандары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Есеп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саясаты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Есеп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және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салықтық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саясат</w:t>
            </w:r>
            <w:proofErr w:type="spellEnd"/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Внести изменения в действующие Положения 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и утвердить их в новой редакции: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t>«О ставках авторского вознаграждения»;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ставках смежного вознаграждения»;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порядке сбора, начисления и выплаты авторского вознаграждения»;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порядке сбора, начисления и выплаты смежного вознаграждения»;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Правлении»;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«О Совете Правообладателей»;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типовые формы Лицензионных договоров;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Учетную политику;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Учетно-налоговую политику.</w:t>
            </w:r>
            <w:r w:rsidR="00C33C58"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9" w:type="dxa"/>
            <w:gridSpan w:val="2"/>
          </w:tcPr>
          <w:p w14:paraId="7FFDF6A2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</w:tcPr>
          <w:p w14:paraId="4CEBA953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8" w:type="dxa"/>
          </w:tcPr>
          <w:p w14:paraId="07CBBFEE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2A0E26" w:rsidRPr="00BA409C" w14:paraId="497C92DD" w14:textId="77777777" w:rsidTr="00BA409C">
        <w:tc>
          <w:tcPr>
            <w:tcW w:w="5272" w:type="dxa"/>
          </w:tcPr>
          <w:p w14:paraId="0E6719A8" w14:textId="77777777" w:rsidR="00BA409C" w:rsidRDefault="005045A7" w:rsidP="00BA40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Басқарма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мен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басқарма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төрағасын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сайлау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Избрание Правления и председателя Правления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Дауыс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беруге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арналған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>ұсыныс</w:t>
            </w:r>
            <w:proofErr w:type="spellEnd"/>
            <w:r w:rsidRPr="00BA409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A409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/ Предложение для голосования</w:t>
            </w:r>
            <w:r w:rsidRPr="00BA409C">
              <w:rPr>
                <w:rFonts w:ascii="Times New Roman" w:hAnsi="Times New Roman" w:cs="Times New Roman"/>
                <w:sz w:val="22"/>
                <w:szCs w:val="22"/>
                <w:u w:val="single"/>
              </w:rPr>
              <w:br/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Басқарма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құрамына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сайлансын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Балмагамбетова Л. (төраға)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2. Амирова А. (төрағаның орынбасары)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3. Аманова Р.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4. Лесников М.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5. Кдыров А.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Басқарма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мүшелері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бір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жыл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мерзімге сайланады, ай сайын 150 000 теңге мөлшерінде сыйақы төленеді.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Басқарма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төрағасы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Л.Ю.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Балмағамбетова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2029 жылғы 31 желтоқсанға дейін үш жыл мерзімге сайлансын. Ай сайынғы жалақысы 500 000 теңге мөлшерінде белгіленсін. Еңбек демалысы – күнтізбелік 30 күн. Жұмыс уақытының режимі дербес айқындалады, бірақ аптасына кемінде 30 сағат болуы тиіс. Өзге шарттар қолданыстағы заңнамаға сәйкес белгіленеді.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2A96E463" w14:textId="3D6608A9" w:rsidR="00791069" w:rsidRPr="00BA409C" w:rsidRDefault="005045A7" w:rsidP="00BA40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Избрать Правление: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1. Балмагамбетова Л. (председатель)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2. Амирова А. (зам. председателя)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3. Аманова Р.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4. Лесников М.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5. Кдыров А.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>Члены Правления избираются на один год, с оплатой ежемесячно по 150 000 тенге к получению.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Председатель Правления </w:t>
            </w:r>
            <w:proofErr w:type="spellStart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>Балмагамбетова</w:t>
            </w:r>
            <w:proofErr w:type="spellEnd"/>
            <w:r w:rsidRPr="00BA409C">
              <w:rPr>
                <w:rFonts w:ascii="Times New Roman" w:hAnsi="Times New Roman" w:cs="Times New Roman"/>
                <w:sz w:val="22"/>
                <w:szCs w:val="22"/>
              </w:rPr>
              <w:t xml:space="preserve"> Л.Ю. избирается на три года, до 31.12.2029 года, с выплатой ежемесячно заработной платы 500 000 тенге, трудовой отпуск 30 календарных дней, режим рабочего времени определяется самостоятельно, но не менее 30 часов в неделю, все остальные условия в соответствии с нормами действующего законодательства.</w:t>
            </w:r>
            <w:r w:rsidRPr="00BA409C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9" w:type="dxa"/>
            <w:gridSpan w:val="2"/>
          </w:tcPr>
          <w:p w14:paraId="79C47F74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2" w:type="dxa"/>
          </w:tcPr>
          <w:p w14:paraId="025A8F03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8" w:type="dxa"/>
          </w:tcPr>
          <w:p w14:paraId="672D21F5" w14:textId="77777777" w:rsidR="002A0E26" w:rsidRPr="00BA409C" w:rsidRDefault="002A0E26" w:rsidP="002A0E26">
            <w:pPr>
              <w:tabs>
                <w:tab w:val="left" w:pos="0"/>
              </w:tabs>
              <w:spacing w:after="0" w:line="254" w:lineRule="exact"/>
              <w:ind w:right="-63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B1B177A" w14:textId="77777777" w:rsidR="002A0E26" w:rsidRPr="00BA409C" w:rsidRDefault="002A0E26" w:rsidP="002A0E2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9609270" w14:textId="77777777" w:rsidR="002A0E26" w:rsidRPr="00BA409C" w:rsidRDefault="002A0E26" w:rsidP="002A0E2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A409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Примечание</w:t>
      </w:r>
      <w:r w:rsidRPr="00BA409C">
        <w:rPr>
          <w:rFonts w:ascii="Times New Roman" w:eastAsia="Calibri" w:hAnsi="Times New Roman" w:cs="Times New Roman"/>
          <w:b/>
          <w:kern w:val="0"/>
          <w:sz w:val="22"/>
          <w:szCs w:val="22"/>
          <w:lang w:val="kk-KZ"/>
          <w14:ligatures w14:val="none"/>
        </w:rPr>
        <w:t>/Ескерту</w:t>
      </w:r>
      <w:r w:rsidRPr="00BA409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__________________________________________________________________________________</w:t>
      </w:r>
    </w:p>
    <w:p w14:paraId="38DEBAD7" w14:textId="77777777" w:rsidR="002A0E26" w:rsidRPr="00BA409C" w:rsidRDefault="002A0E26" w:rsidP="002A0E2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3B29003" w14:textId="77777777" w:rsidR="002A0E26" w:rsidRPr="00BA409C" w:rsidRDefault="002A0E26" w:rsidP="002A0E2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BA409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Дата </w:t>
      </w:r>
      <w:r w:rsidRPr="00BA409C">
        <w:rPr>
          <w:rFonts w:ascii="Times New Roman" w:eastAsia="Calibri" w:hAnsi="Times New Roman" w:cs="Times New Roman"/>
          <w:b/>
          <w:kern w:val="0"/>
          <w:sz w:val="22"/>
          <w:szCs w:val="22"/>
          <w:lang w:val="kk-KZ"/>
          <w14:ligatures w14:val="none"/>
        </w:rPr>
        <w:t>/Күні</w:t>
      </w:r>
      <w:r w:rsidRPr="00BA409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_____________________       Подпись </w:t>
      </w:r>
      <w:r w:rsidRPr="00BA409C">
        <w:rPr>
          <w:rFonts w:ascii="Times New Roman" w:eastAsia="Calibri" w:hAnsi="Times New Roman" w:cs="Times New Roman"/>
          <w:b/>
          <w:kern w:val="0"/>
          <w:sz w:val="22"/>
          <w:szCs w:val="22"/>
          <w:lang w:val="kk-KZ"/>
          <w14:ligatures w14:val="none"/>
        </w:rPr>
        <w:t>/Қолы</w:t>
      </w:r>
      <w:r w:rsidRPr="00BA409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_______________________</w:t>
      </w:r>
    </w:p>
    <w:p w14:paraId="044BAEFE" w14:textId="77777777" w:rsidR="008D0D38" w:rsidRPr="00BA409C" w:rsidRDefault="008D0D38">
      <w:pPr>
        <w:rPr>
          <w:rFonts w:ascii="Times New Roman" w:hAnsi="Times New Roman" w:cs="Times New Roman"/>
          <w:sz w:val="22"/>
          <w:szCs w:val="22"/>
        </w:rPr>
      </w:pPr>
    </w:p>
    <w:sectPr w:rsidR="008D0D38" w:rsidRPr="00BA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86C"/>
    <w:multiLevelType w:val="hybridMultilevel"/>
    <w:tmpl w:val="B90A6BF0"/>
    <w:lvl w:ilvl="0" w:tplc="08422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F403F8"/>
    <w:multiLevelType w:val="hybridMultilevel"/>
    <w:tmpl w:val="725EFF86"/>
    <w:lvl w:ilvl="0" w:tplc="AA0AB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1512695">
    <w:abstractNumId w:val="1"/>
  </w:num>
  <w:num w:numId="2" w16cid:durableId="132366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38"/>
    <w:rsid w:val="000D7E0B"/>
    <w:rsid w:val="002A0E26"/>
    <w:rsid w:val="002A2FA3"/>
    <w:rsid w:val="00497FA3"/>
    <w:rsid w:val="005045A7"/>
    <w:rsid w:val="005939C6"/>
    <w:rsid w:val="00684699"/>
    <w:rsid w:val="00791069"/>
    <w:rsid w:val="008D0D38"/>
    <w:rsid w:val="00A76144"/>
    <w:rsid w:val="00B40710"/>
    <w:rsid w:val="00BA409C"/>
    <w:rsid w:val="00C33C58"/>
    <w:rsid w:val="00C4501E"/>
    <w:rsid w:val="00D81C51"/>
    <w:rsid w:val="00DF437F"/>
    <w:rsid w:val="00DF757E"/>
    <w:rsid w:val="00E82D04"/>
    <w:rsid w:val="00EC7819"/>
    <w:rsid w:val="00E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EEEF"/>
  <w15:docId w15:val="{B590EF7B-8D34-4574-838E-716B976C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A0E2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C4501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01E"/>
    <w:rPr>
      <w:rFonts w:ascii="Consolas" w:hAnsi="Consolas" w:cs="Consolas"/>
      <w:sz w:val="20"/>
      <w:szCs w:val="20"/>
    </w:rPr>
  </w:style>
  <w:style w:type="character" w:customStyle="1" w:styleId="y2iqfc">
    <w:name w:val="y2iqfc"/>
    <w:basedOn w:val="a0"/>
    <w:rsid w:val="00D8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2026-06-08T07:12:00Z</dcterms:created>
  <dcterms:modified xsi:type="dcterms:W3CDTF">2026-06-08T07:12:00Z</dcterms:modified>
</cp:coreProperties>
</file>